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364C1" w:rsidTr="00F364C1">
        <w:trPr>
          <w:jc w:val="center"/>
        </w:trPr>
        <w:tc>
          <w:tcPr>
            <w:tcW w:w="0" w:type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364C1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F364C1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F364C1" w:rsidRDefault="00F364C1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72100" cy="2238375"/>
                              <wp:effectExtent l="0" t="0" r="0" b="9525"/>
                              <wp:docPr id="2" name="Picture 2" descr="https://mcusercontent.com/61494fae8fc3ea4f6d1850741/images/e96980c5-a1d6-4597-9a51-8d5c8282855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cusercontent.com/61494fae8fc3ea4f6d1850741/images/e96980c5-a1d6-4597-9a51-8d5c8282855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2238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364C1" w:rsidRDefault="00F364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364C1" w:rsidRDefault="00F364C1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364C1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364C1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F364C1" w:rsidRDefault="00F364C1">
                        <w:pPr>
                          <w:pStyle w:val="Heading3"/>
                          <w:spacing w:before="0" w:beforeAutospacing="0" w:after="0" w:afterAutospacing="0" w:line="360" w:lineRule="auto"/>
                          <w:rPr>
                            <w:rFonts w:ascii="Helvetica" w:eastAsia="Times New Roman" w:hAnsi="Helvetica" w:cs="Helvetica"/>
                            <w:color w:val="444444"/>
                            <w:sz w:val="33"/>
                            <w:szCs w:val="33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b/>
                            <w:bCs/>
                            <w:color w:val="E33A3E"/>
                            <w:sz w:val="33"/>
                            <w:szCs w:val="33"/>
                          </w:rPr>
                          <w:t>Stay sharp for starting A-Level Maths</w:t>
                        </w:r>
                      </w:p>
                      <w:p w:rsidR="00F364C1" w:rsidRDefault="00F364C1">
                        <w:pPr>
                          <w:pStyle w:val="NormalWeb"/>
                          <w:spacing w:before="150" w:beforeAutospacing="0" w:after="150" w:afterAutospacing="0" w:line="360" w:lineRule="auto"/>
                          <w:rPr>
                            <w:rFonts w:ascii="Helvetica" w:hAnsi="Helvetica" w:cs="Helvetica"/>
                            <w:color w:val="757575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color w:val="757575"/>
                          </w:rPr>
                          <w:t>HegartyMaths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757575"/>
                          </w:rPr>
                          <w:t xml:space="preserve"> is proud to offer any prospective A Level maths students, or even those with an interest in keeping their maths sharp, an opportunity to join Colin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757575"/>
                          </w:rPr>
                          <w:t>Hegarty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757575"/>
                          </w:rPr>
                          <w:t xml:space="preserve"> for some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757575"/>
                          </w:rPr>
                          <w:t>Youtube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757575"/>
                          </w:rPr>
                          <w:t xml:space="preserve"> Live maths sessions during the school closures. Read on for the important information:</w:t>
                        </w:r>
                      </w:p>
                      <w:p w:rsidR="00F364C1" w:rsidRDefault="00F364C1" w:rsidP="000B76D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This is a completely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34A7E0"/>
                            <w:sz w:val="24"/>
                            <w:szCs w:val="24"/>
                          </w:rPr>
                          <w:t>FREE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and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34A7E0"/>
                            <w:sz w:val="24"/>
                            <w:szCs w:val="24"/>
                          </w:rPr>
                          <w:t>OPEN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to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34A7E0"/>
                            <w:sz w:val="24"/>
                            <w:szCs w:val="24"/>
                          </w:rPr>
                          <w:t>ALL SCHOOLS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, even those that are not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HegartyMaths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subscribers so ask your friends and colleagues to share!</w:t>
                        </w:r>
                      </w:p>
                      <w:p w:rsidR="00F364C1" w:rsidRDefault="00F364C1" w:rsidP="000B76D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Students can access the sessions by visiting </w:t>
                        </w:r>
                        <w:hyperlink r:id="rId6" w:tgtFrame="_blank" w:history="1">
                          <w:r>
                            <w:rPr>
                              <w:rStyle w:val="Hyperlink"/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</w:rPr>
                            <w:t>youtube.com/</w:t>
                          </w:r>
                          <w:proofErr w:type="spellStart"/>
                          <w:r>
                            <w:rPr>
                              <w:rStyle w:val="Hyperlink"/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</w:rPr>
                            <w:t>hegartymaths</w:t>
                          </w:r>
                          <w:proofErr w:type="spellEnd"/>
                        </w:hyperlink>
                        <w:hyperlink r:id="rId7" w:tgtFrame="_blank" w:history="1">
                          <w:r>
                            <w:rPr>
                              <w:rStyle w:val="Hyperlink"/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</w:rPr>
                            <w:t>/live</w:t>
                          </w:r>
                        </w:hyperlink>
                      </w:p>
                      <w:p w:rsidR="00F364C1" w:rsidRDefault="00F364C1" w:rsidP="000B76D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Sessions will be on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34A7E0"/>
                            <w:sz w:val="24"/>
                            <w:szCs w:val="24"/>
                          </w:rPr>
                          <w:t>WEEKDAYS AT 2PM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 from today (Wednesday!)</w:t>
                        </w:r>
                      </w:p>
                      <w:p w:rsidR="00F364C1" w:rsidRDefault="00F364C1" w:rsidP="000B76D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Content covered will support students as they transition from GCSE to A-Level maths</w:t>
                        </w:r>
                      </w:p>
                      <w:p w:rsidR="00F364C1" w:rsidRDefault="00F364C1" w:rsidP="000B76D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Videos will be saved on the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HegartyMaths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Youtube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channel so students can catch up if they miss any or can't be there at the time</w:t>
                        </w:r>
                      </w:p>
                      <w:p w:rsidR="00F364C1" w:rsidRDefault="00F364C1" w:rsidP="000B76D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First lesson today -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34A7E0"/>
                            <w:sz w:val="24"/>
                            <w:szCs w:val="24"/>
                          </w:rPr>
                          <w:t>SIMPLIFYING SURDS</w:t>
                        </w:r>
                      </w:p>
                      <w:p w:rsidR="00F364C1" w:rsidRDefault="00F364C1">
                        <w:pPr>
                          <w:pStyle w:val="NormalWeb"/>
                          <w:spacing w:before="150" w:beforeAutospacing="0" w:after="150" w:afterAutospacing="0" w:line="360" w:lineRule="auto"/>
                          <w:rPr>
                            <w:rFonts w:ascii="Helvetica" w:hAnsi="Helvetica" w:cs="Helvetica"/>
                            <w:color w:val="757575"/>
                          </w:rPr>
                        </w:pPr>
                        <w:r>
                          <w:rPr>
                            <w:rFonts w:ascii="Helvetica" w:hAnsi="Helvetica" w:cs="Helvetica"/>
                            <w:color w:val="757575"/>
                          </w:rPr>
                          <w:t xml:space="preserve">Please share the above info with your students who might be interested. If you 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color w:val="757575"/>
                          </w:rPr>
                          <w:t>have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757575"/>
                          </w:rPr>
                          <w:t xml:space="preserve"> other colleagues in different schools feel free to use the link below to share on social media.</w:t>
                        </w:r>
                      </w:p>
                    </w:tc>
                  </w:tr>
                </w:tbl>
                <w:p w:rsidR="00F364C1" w:rsidRDefault="00F364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364C1" w:rsidRDefault="00F364C1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364C1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F364C1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F364C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96"/>
                              </w:tblGrid>
                              <w:tr w:rsidR="00F364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96"/>
                                    </w:tblGrid>
                                    <w:tr w:rsidR="00F364C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96"/>
                                          </w:tblGrid>
                                          <w:tr w:rsidR="00F364C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3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  <w:gridCol w:w="566"/>
                                                </w:tblGrid>
                                                <w:tr w:rsidR="00F364C1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364C1" w:rsidRDefault="00F364C1">
                                                      <w:pPr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>
                                                            <wp:extent cx="228600" cy="228600"/>
                                                            <wp:effectExtent l="0" t="0" r="0" b="0"/>
                                                            <wp:docPr id="1" name="Picture 1" descr="Tweet">
                                                              <a:hlinkClick xmlns:a="http://schemas.openxmlformats.org/drawingml/2006/main" r:id="rId8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Twee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364C1" w:rsidRDefault="00F364C1">
                                                      <w:hyperlink r:id="rId10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Arial" w:hAnsi="Arial" w:cs="Arial"/>
                                                            <w:color w:val="20202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Tweet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364C1" w:rsidRDefault="00F364C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364C1" w:rsidRDefault="00F364C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364C1" w:rsidRDefault="00F364C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64C1" w:rsidRDefault="00F364C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64C1" w:rsidRDefault="00F364C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4C1" w:rsidRDefault="00F364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364C1" w:rsidRDefault="00F364C1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364C1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364C1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F364C1" w:rsidRDefault="00F364C1">
                        <w:pPr>
                          <w:pStyle w:val="Heading3"/>
                          <w:spacing w:before="0" w:beforeAutospacing="0" w:after="0" w:afterAutospacing="0" w:line="360" w:lineRule="auto"/>
                          <w:rPr>
                            <w:rFonts w:ascii="Helvetica" w:eastAsia="Times New Roman" w:hAnsi="Helvetica" w:cs="Helvetica"/>
                            <w:color w:val="444444"/>
                            <w:sz w:val="33"/>
                            <w:szCs w:val="33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E33A3E"/>
                            <w:sz w:val="33"/>
                            <w:szCs w:val="33"/>
                          </w:rPr>
                          <w:t xml:space="preserve">What these sessions </w:t>
                        </w:r>
                        <w:r>
                          <w:rPr>
                            <w:rFonts w:ascii="Helvetica" w:eastAsia="Times New Roman" w:hAnsi="Helvetica" w:cs="Helvetica"/>
                            <w:color w:val="E33A3E"/>
                            <w:sz w:val="33"/>
                            <w:szCs w:val="33"/>
                            <w:u w:val="single"/>
                          </w:rPr>
                          <w:t>are not</w:t>
                        </w:r>
                        <w:r>
                          <w:rPr>
                            <w:rFonts w:ascii="Helvetica" w:eastAsia="Times New Roman" w:hAnsi="Helvetica" w:cs="Helvetica"/>
                            <w:color w:val="E33A3E"/>
                            <w:sz w:val="33"/>
                            <w:szCs w:val="33"/>
                          </w:rPr>
                          <w:t>...</w:t>
                        </w:r>
                      </w:p>
                      <w:p w:rsidR="00F364C1" w:rsidRDefault="00F364C1" w:rsidP="000B76D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A perfect solution that would be better than </w:t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b/>
                            <w:bCs/>
                            <w:color w:val="757575"/>
                            <w:sz w:val="24"/>
                            <w:szCs w:val="24"/>
                            <w:u w:val="single"/>
                          </w:rPr>
                          <w:t>you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teaching your students in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i/>
                            <w:iCs/>
                            <w:color w:val="757575"/>
                            <w:sz w:val="24"/>
                            <w:szCs w:val="24"/>
                            <w:u w:val="single"/>
                          </w:rPr>
                          <w:t>your classroom</w:t>
                        </w:r>
                      </w:p>
                      <w:p w:rsidR="00F364C1" w:rsidRDefault="00F364C1" w:rsidP="000B76D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Error free or perfect</w:t>
                        </w:r>
                      </w:p>
                      <w:p w:rsidR="00F364C1" w:rsidRDefault="00F364C1" w:rsidP="000B76D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Linked to the quizzes/tracking inside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HegartyMaths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- these live lessons are outside the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HegartyMaths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 platform so it's more easily accessible to all students in a lower tech way - therefore their work is not tracked like within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HegartyMaths</w:t>
                        </w:r>
                        <w:proofErr w:type="spellEnd"/>
                      </w:p>
                      <w:p w:rsidR="00F364C1" w:rsidRDefault="00F364C1" w:rsidP="000B76D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Going to have Mr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Hegarty's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face or office in the broadcast!  It will be LIVE but with students watching Mr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Hegarty's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screen where he writes maths so we can focus on maths</w:t>
                        </w:r>
                      </w:p>
                      <w:p w:rsidR="00F364C1" w:rsidRDefault="00F364C1" w:rsidP="000B76D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Going to teach A-Level (we will cover higher end GCSE topics that come up at the start of A-Level but not the later Y12 or Y13 material)</w:t>
                        </w:r>
                      </w:p>
                      <w:p w:rsidR="00F364C1" w:rsidRDefault="00F364C1">
                        <w:pPr>
                          <w:pStyle w:val="Heading3"/>
                          <w:spacing w:before="0" w:beforeAutospacing="0" w:after="0" w:afterAutospacing="0" w:line="360" w:lineRule="auto"/>
                          <w:rPr>
                            <w:rFonts w:ascii="Helvetica" w:eastAsia="Times New Roman" w:hAnsi="Helvetica" w:cs="Helvetica"/>
                            <w:color w:val="444444"/>
                            <w:sz w:val="33"/>
                            <w:szCs w:val="33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E33A3E"/>
                            <w:sz w:val="33"/>
                            <w:szCs w:val="33"/>
                          </w:rPr>
                          <w:t xml:space="preserve">What these sessions </w:t>
                        </w:r>
                        <w:r>
                          <w:rPr>
                            <w:rFonts w:ascii="Helvetica" w:eastAsia="Times New Roman" w:hAnsi="Helvetica" w:cs="Helvetica"/>
                            <w:color w:val="E33A3E"/>
                            <w:sz w:val="33"/>
                            <w:szCs w:val="33"/>
                            <w:u w:val="single"/>
                          </w:rPr>
                          <w:t>are</w:t>
                        </w:r>
                        <w:r>
                          <w:rPr>
                            <w:rFonts w:ascii="Helvetica" w:eastAsia="Times New Roman" w:hAnsi="Helvetica" w:cs="Helvetica"/>
                            <w:color w:val="E33A3E"/>
                            <w:sz w:val="33"/>
                            <w:szCs w:val="33"/>
                          </w:rPr>
                          <w:t>...</w:t>
                        </w:r>
                      </w:p>
                      <w:p w:rsidR="00F364C1" w:rsidRDefault="00F364C1" w:rsidP="000B76D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An attempt to help and do something positive in challenging times</w:t>
                        </w:r>
                      </w:p>
                      <w:p w:rsidR="00F364C1" w:rsidRDefault="00F364C1" w:rsidP="000B76D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About trying to support Y11 students who no longer have GCSE exams to take but need to stay fresh if considering A-Level</w:t>
                        </w:r>
                      </w:p>
                      <w:p w:rsidR="00F364C1" w:rsidRDefault="00F364C1" w:rsidP="000B76D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Experimental.  </w:t>
                        </w:r>
                        <w:proofErr w:type="gramStart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We're</w:t>
                        </w:r>
                        <w:proofErr w:type="gramEnd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trying on YouTube Live so it's accessible to as many students as possible in a low-tech way.  </w:t>
                        </w:r>
                        <w:proofErr w:type="gramStart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We're</w:t>
                        </w:r>
                        <w:proofErr w:type="gramEnd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not entirely sure YouTube live will enable quality back-and-forth interaction but it's worth a shot so we're going to try!</w:t>
                        </w:r>
                      </w:p>
                    </w:tc>
                  </w:tr>
                </w:tbl>
                <w:p w:rsidR="00F364C1" w:rsidRDefault="00F364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364C1" w:rsidRDefault="00F364C1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364C1">
              <w:trPr>
                <w:hidden/>
              </w:trPr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F364C1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64C1" w:rsidRDefault="00F364C1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F364C1" w:rsidRDefault="00F364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364C1" w:rsidRDefault="00F364C1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364C1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364C1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F364C1" w:rsidRDefault="00F364C1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Helvetica" w:hAnsi="Helvetica" w:cs="Helvetica"/>
                            <w:color w:val="757575"/>
                            <w:sz w:val="24"/>
                            <w:szCs w:val="24"/>
                          </w:rPr>
                          <w:t>Wondering what the sessions might be like?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757575"/>
                            <w:sz w:val="24"/>
                            <w:szCs w:val="24"/>
                          </w:rPr>
                          <w:t xml:space="preserve"> No problem. 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color w:val="007C89"/>
                              <w:sz w:val="24"/>
                              <w:szCs w:val="24"/>
                            </w:rPr>
                            <w:t>Click here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757575"/>
                            <w:sz w:val="24"/>
                            <w:szCs w:val="24"/>
                          </w:rPr>
                          <w:t xml:space="preserve"> and you will get a downloadable sample of some of the material Colin will be covering. </w:t>
                        </w:r>
                      </w:p>
                    </w:tc>
                  </w:tr>
                </w:tbl>
                <w:p w:rsidR="00F364C1" w:rsidRDefault="00F364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364C1" w:rsidRDefault="00F36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649B" w:rsidRDefault="00F364C1">
      <w:bookmarkStart w:id="0" w:name="_GoBack"/>
      <w:bookmarkEnd w:id="0"/>
    </w:p>
    <w:sectPr w:rsidR="00386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3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935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34D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C1"/>
    <w:rsid w:val="00145694"/>
    <w:rsid w:val="00BF3305"/>
    <w:rsid w:val="00F3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188BA-EC49-4267-8519-A1E2FB83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64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364C1"/>
    <w:rPr>
      <w:rFonts w:ascii="Calibri" w:hAnsi="Calibri" w:cs="Calibri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364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64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64C1"/>
    <w:rPr>
      <w:b/>
      <w:bCs/>
    </w:rPr>
  </w:style>
  <w:style w:type="character" w:styleId="Emphasis">
    <w:name w:val="Emphasis"/>
    <w:basedOn w:val="DefaultParagraphFont"/>
    <w:uiPriority w:val="20"/>
    <w:qFormat/>
    <w:rsid w:val="00F36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gartymaths.us10.list-manage.com/track/click?u=61494fae8fc3ea4f6d1850741&amp;id=a01f333dde&amp;e=35327b7d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gartymaths.us10.list-manage.com/track/click?u=61494fae8fc3ea4f6d1850741&amp;id=418be0cfa1&amp;e=35327b7d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gartymaths.us10.list-manage.com/track/click?u=61494fae8fc3ea4f6d1850741&amp;id=81fdbdefca&amp;e=35327b7d16" TargetMode="External"/><Relationship Id="rId11" Type="http://schemas.openxmlformats.org/officeDocument/2006/relationships/hyperlink" Target="https://hegartymaths.us10.list-manage.com/track/click?u=61494fae8fc3ea4f6d1850741&amp;id=625c43729d&amp;e=35327b7d1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hegartymaths.us10.list-manage.com/track/click?u=61494fae8fc3ea4f6d1850741&amp;id=27a468f3bb&amp;e=35327b7d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Eckington School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Tully (ECK)</dc:creator>
  <cp:keywords/>
  <dc:description/>
  <cp:lastModifiedBy>S Tully (ECK)</cp:lastModifiedBy>
  <cp:revision>1</cp:revision>
  <dcterms:created xsi:type="dcterms:W3CDTF">2020-04-28T06:14:00Z</dcterms:created>
  <dcterms:modified xsi:type="dcterms:W3CDTF">2020-04-28T06:15:00Z</dcterms:modified>
</cp:coreProperties>
</file>